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69" w:rsidRPr="00140369" w:rsidRDefault="00140369" w:rsidP="00140369">
      <w:pPr>
        <w:shd w:val="clear" w:color="auto" w:fill="DFE2E7"/>
        <w:spacing w:after="0" w:line="240" w:lineRule="auto"/>
        <w:jc w:val="both"/>
        <w:rPr>
          <w:rFonts w:ascii="Tahoma" w:eastAsia="Times New Roman" w:hAnsi="Tahoma" w:cs="Tahoma"/>
          <w:color w:val="0065A3"/>
          <w:sz w:val="24"/>
          <w:szCs w:val="24"/>
        </w:rPr>
      </w:pPr>
      <w:r w:rsidRPr="00140369">
        <w:rPr>
          <w:rFonts w:ascii="Tahoma" w:eastAsia="Times New Roman" w:hAnsi="Tahoma" w:cs="Tahoma"/>
          <w:color w:val="0065A3"/>
          <w:sz w:val="24"/>
          <w:szCs w:val="24"/>
        </w:rPr>
        <w:t>Регулярна інформація за 2 квартал 2016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01.04.2016</w:t>
            </w:r>
          </w:p>
        </w:tc>
      </w:tr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30.06.2016</w:t>
            </w:r>
          </w:p>
        </w:tc>
      </w:tr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24.07.2016 15:04:22</w:t>
            </w:r>
          </w:p>
        </w:tc>
      </w:tr>
      <w:tr w:rsidR="00140369" w:rsidRPr="00140369" w:rsidTr="0014036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369">
              <w:rPr>
                <w:rFonts w:ascii="Times New Roman" w:eastAsia="Times New Roman" w:hAnsi="Times New Roman" w:cs="Times New Roman"/>
                <w:sz w:val="18"/>
                <w:szCs w:val="18"/>
              </w:rPr>
              <w:t>24.07.2016 15:04:22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140369" w:rsidRPr="00140369" w:rsidTr="00140369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140369" w:rsidRPr="00140369" w:rsidTr="00140369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22.07.2016</w:t>
            </w:r>
          </w:p>
        </w:tc>
      </w:tr>
      <w:tr w:rsidR="00140369" w:rsidRPr="00140369" w:rsidTr="00140369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1451"/>
      </w:tblGrid>
      <w:tr w:rsidR="00140369" w:rsidRPr="00140369" w:rsidTr="00140369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2 квартал 2016 р.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20820, 23481 (03433) 23581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6. Електронна поштова адреса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noProof/>
                <w:color w:val="0065A3"/>
                <w:sz w:val="17"/>
                <w:szCs w:val="17"/>
              </w:rPr>
              <w:drawing>
                <wp:inline distT="0" distB="0" distL="0" distR="0">
                  <wp:extent cx="3331845" cy="142875"/>
                  <wp:effectExtent l="0" t="0" r="1905" b="9525"/>
                  <wp:docPr id="1" name="Рисунок 1" descr="https://stockmarket.gov.ua/generatedImg/00238180/76506/e_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ckmarket.gov.ua/generatedImg/00238180/76506/e_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24.07.2016</w:t>
            </w:r>
          </w:p>
        </w:tc>
      </w:tr>
    </w:tbl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166"/>
        <w:gridCol w:w="2932"/>
        <w:gridCol w:w="3404"/>
      </w:tblGrid>
      <w:tr w:rsidR="00140369" w:rsidRPr="00140369" w:rsidTr="00140369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516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www.carpatek.com</w:t>
            </w:r>
          </w:p>
        </w:tc>
        <w:tc>
          <w:tcPr>
            <w:tcW w:w="293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340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24.07.2016</w:t>
            </w:r>
          </w:p>
        </w:tc>
      </w:tr>
      <w:tr w:rsidR="00140369" w:rsidRPr="00140369" w:rsidTr="00140369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5166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2932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3404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RPr="00140369" w:rsidTr="00140369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санац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вiдсутня.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ААВ №146354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48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140369" w:rsidRPr="00140369" w:rsidTr="00140369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140369" w:rsidRPr="00140369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140369" w:rsidRPr="00140369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140369" w:rsidRPr="00140369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140369" w:rsidRPr="00140369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140369" w:rsidRPr="00140369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140369" w:rsidRPr="00140369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40369" w:rsidRPr="00140369" w:rsidRDefault="00140369" w:rsidP="0014036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140369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140369" w:rsidRPr="00140369" w:rsidTr="00140369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СЕ 057755 Коломийський РВ УМВС в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140369" w:rsidRPr="00140369" w:rsidRDefault="00140369" w:rsidP="00140369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140369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140369" w:rsidRPr="00140369" w:rsidRDefault="00140369" w:rsidP="00140369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140369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140369" w:rsidRPr="00140369" w:rsidRDefault="00140369" w:rsidP="00140369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140369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140369" w:rsidRPr="00140369" w:rsidTr="00140369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140369" w:rsidRPr="00140369" w:rsidTr="00140369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140369" w:rsidRPr="00140369" w:rsidTr="00140369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140369" w:rsidRPr="00140369" w:rsidTr="00140369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140369" w:rsidRPr="00140369" w:rsidTr="00140369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140369" w:rsidRPr="00140369" w:rsidTr="00140369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140369" w:rsidRDefault="00140369" w:rsidP="00140369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140369" w:rsidRDefault="00140369" w:rsidP="001403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140369" w:rsidTr="00140369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07 | 01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Державне підприємство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proofErr w:type="gramStart"/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</w:t>
            </w:r>
            <w:proofErr w:type="gramEnd"/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140369" w:rsidRPr="00140369" w:rsidTr="00140369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140369" w:rsidRPr="00140369" w:rsidTr="00140369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40369" w:rsidTr="00140369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140369" w:rsidRDefault="00140369" w:rsidP="00140369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140369" w:rsidRPr="00140369" w:rsidRDefault="00140369" w:rsidP="00140369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140369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140369">
        <w:rPr>
          <w:rFonts w:ascii="Tahoma" w:hAnsi="Tahoma" w:cs="Tahoma"/>
          <w:color w:val="0065A3"/>
          <w:lang w:val="ru-RU"/>
        </w:rPr>
        <w:br/>
        <w:t>на 30.06.2016 р.</w:t>
      </w:r>
    </w:p>
    <w:p w:rsidR="00140369" w:rsidRPr="00140369" w:rsidRDefault="00140369" w:rsidP="001403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140369" w:rsidRPr="00140369" w:rsidTr="00140369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19657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57862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36082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36517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38205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47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19704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2467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997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1944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4459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140369" w:rsidRPr="00140369" w:rsidTr="00140369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34656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27614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16058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7502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16518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466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695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2788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4926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7179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140369" w:rsidRPr="00140369" w:rsidTr="00140369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140369" w:rsidTr="00140369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07 | 01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140369" w:rsidRDefault="00140369" w:rsidP="00140369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140369" w:rsidRPr="00140369" w:rsidRDefault="00140369" w:rsidP="00140369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140369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140369">
        <w:rPr>
          <w:rFonts w:ascii="Tahoma" w:hAnsi="Tahoma" w:cs="Tahoma"/>
          <w:color w:val="0065A3"/>
          <w:lang w:val="ru-RU"/>
        </w:rPr>
        <w:br/>
        <w:t>за 2 квартал 2016 р.</w:t>
      </w:r>
    </w:p>
    <w:p w:rsidR="00140369" w:rsidRPr="00140369" w:rsidRDefault="00140369" w:rsidP="001403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140369" w:rsidRPr="00140369" w:rsidTr="00140369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182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( 1011 )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( 136 )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( 331 )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( 347 )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( 152 )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( 476 )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( 386 )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( 582 )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( 687 )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1727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( 1348 )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( 929 )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( 1930 )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( 1930 )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140369" w:rsidRPr="00140369" w:rsidTr="00140369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140369" w:rsidTr="00140369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745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82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383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625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948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728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1968</w:t>
            </w: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140369" w:rsidRP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140369" w:rsidRP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140369" w:rsidTr="00140369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1.04893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0.06033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140369" w:rsidRPr="00140369" w:rsidTr="00140369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140369" w:rsidTr="00140369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07 | 01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140369" w:rsidRDefault="00140369" w:rsidP="00140369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140369" w:rsidRPr="00140369" w:rsidRDefault="00140369" w:rsidP="00140369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140369">
        <w:rPr>
          <w:rFonts w:ascii="Tahoma" w:hAnsi="Tahoma" w:cs="Tahoma"/>
          <w:color w:val="0065A3"/>
          <w:lang w:val="ru-RU"/>
        </w:rPr>
        <w:t>Звіт про рух грошових коштів (за прямим методом)</w:t>
      </w:r>
      <w:r w:rsidRPr="00140369">
        <w:rPr>
          <w:rFonts w:ascii="Tahoma" w:hAnsi="Tahoma" w:cs="Tahoma"/>
          <w:color w:val="0065A3"/>
          <w:lang w:val="ru-RU"/>
        </w:rPr>
        <w:br/>
        <w:t>за 2 квартал 2016 р.</w:t>
      </w:r>
    </w:p>
    <w:p w:rsidR="00140369" w:rsidRPr="00140369" w:rsidRDefault="00140369" w:rsidP="001403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140369" w:rsidRPr="00140369" w:rsidTr="00140369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403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511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248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td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140369" w:rsidRPr="00140369" w:rsidTr="00140369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  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140369" w:rsidTr="00140369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07 | 01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140369" w:rsidRDefault="00140369" w:rsidP="00140369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140369" w:rsidRPr="00140369" w:rsidRDefault="00140369" w:rsidP="00140369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140369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140369">
        <w:rPr>
          <w:rFonts w:ascii="Tahoma" w:hAnsi="Tahoma" w:cs="Tahoma"/>
          <w:color w:val="0065A3"/>
          <w:lang w:val="ru-RU"/>
        </w:rPr>
        <w:br/>
        <w:t>за 2 квартал 2016 р.</w:t>
      </w:r>
    </w:p>
    <w:p w:rsidR="00140369" w:rsidRPr="00140369" w:rsidRDefault="00140369" w:rsidP="001403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140369" w:rsidRPr="00140369" w:rsidTr="00140369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140369" w:rsidTr="00140369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140369" w:rsidRPr="00140369" w:rsidTr="00140369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140369" w:rsidRDefault="00140369" w:rsidP="00140369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140369" w:rsidTr="00140369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07 | 01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140369" w:rsidRDefault="00140369" w:rsidP="00140369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140369" w:rsidRPr="00140369" w:rsidRDefault="00140369" w:rsidP="00140369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140369">
        <w:rPr>
          <w:rFonts w:ascii="Tahoma" w:hAnsi="Tahoma" w:cs="Tahoma"/>
          <w:color w:val="0065A3"/>
          <w:lang w:val="ru-RU"/>
        </w:rPr>
        <w:t>Звіт про власний капітал</w:t>
      </w:r>
      <w:r w:rsidRPr="00140369">
        <w:rPr>
          <w:rFonts w:ascii="Tahoma" w:hAnsi="Tahoma" w:cs="Tahoma"/>
          <w:color w:val="0065A3"/>
          <w:lang w:val="ru-RU"/>
        </w:rPr>
        <w:br/>
        <w:t>за 2 квартал 2016 р.</w:t>
      </w:r>
    </w:p>
    <w:p w:rsidR="00140369" w:rsidRPr="00140369" w:rsidRDefault="00140369" w:rsidP="001403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140369" w:rsidTr="00140369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Розподіл прибутку: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Внески учасників: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Вилучення капіталу: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140369" w:rsidTr="00140369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</w:tbl>
    <w:p w:rsidR="00140369" w:rsidRDefault="00140369" w:rsidP="001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140369" w:rsidRPr="00140369" w:rsidTr="00140369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Tr="00140369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140369" w:rsidTr="00140369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Default="00140369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140369" w:rsidRPr="00140369" w:rsidRDefault="00140369" w:rsidP="00140369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140369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Примітки до фінансової звітності, складеної відповідно до міжнародних стандартів фінансової звітності</w:t>
      </w:r>
    </w:p>
    <w:p w:rsidR="00140369" w:rsidRPr="00140369" w:rsidRDefault="00140369" w:rsidP="0014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140369" w:rsidRP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1. ЗАГАЛЬНА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Повна назва п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 - 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“Коломийський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машин”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Скорочена назва - ВАТ ”Коломияс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льмаш”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Адреса п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–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вська обл., м. Коломия, вул. Пушк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6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тний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 публ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чне акц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«Коломияс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льмаш» готувала 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жнародних стандарт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нансововї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140369" w:rsidRPr="00140369" w:rsidTr="00140369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369" w:rsidRPr="00140369" w:rsidRDefault="00140369" w:rsidP="00140369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140369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</w:tbl>
    <w:p w:rsidR="00BC1EE2" w:rsidRPr="00140369" w:rsidRDefault="00BC1EE2">
      <w:pPr>
        <w:rPr>
          <w:lang w:val="ru-RU"/>
        </w:rPr>
      </w:pPr>
      <w:bookmarkStart w:id="0" w:name="_GoBack"/>
      <w:bookmarkEnd w:id="0"/>
    </w:p>
    <w:sectPr w:rsidR="00BC1EE2" w:rsidRPr="00140369" w:rsidSect="00140369">
      <w:pgSz w:w="15840" w:h="12240" w:orient="landscape"/>
      <w:pgMar w:top="270" w:right="144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19"/>
    <w:rsid w:val="00140369"/>
    <w:rsid w:val="005E1AFD"/>
    <w:rsid w:val="00BC1EE2"/>
    <w:rsid w:val="00C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D201D-7CE0-4C8D-B87A-03D7CBD5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403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403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14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28</Pages>
  <Words>4884</Words>
  <Characters>27843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dcterms:created xsi:type="dcterms:W3CDTF">2025-11-26T18:53:00Z</dcterms:created>
  <dcterms:modified xsi:type="dcterms:W3CDTF">2025-11-27T05:39:00Z</dcterms:modified>
</cp:coreProperties>
</file>