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1F" w:rsidRPr="00773D1F" w:rsidRDefault="00773D1F" w:rsidP="00773D1F">
      <w:pPr>
        <w:shd w:val="clear" w:color="auto" w:fill="DFE2E7"/>
        <w:spacing w:after="0" w:line="240" w:lineRule="auto"/>
        <w:jc w:val="center"/>
        <w:rPr>
          <w:rFonts w:ascii="Tahoma" w:eastAsia="Times New Roman" w:hAnsi="Tahoma" w:cs="Tahoma"/>
          <w:color w:val="0065A3"/>
          <w:sz w:val="36"/>
          <w:szCs w:val="36"/>
        </w:rPr>
      </w:pPr>
      <w:r w:rsidRPr="00773D1F">
        <w:rPr>
          <w:rFonts w:ascii="Tahoma" w:eastAsia="Times New Roman" w:hAnsi="Tahoma" w:cs="Tahoma"/>
          <w:color w:val="0065A3"/>
          <w:sz w:val="36"/>
          <w:szCs w:val="36"/>
        </w:rPr>
        <w:t>Регулярна інформація за 1 квартал 2015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773D1F" w:rsidRPr="00E025A5" w:rsidTr="00773D1F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773D1F" w:rsidRPr="00773D1F" w:rsidTr="00773D1F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773D1F" w:rsidRPr="00773D1F" w:rsidTr="00773D1F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73D1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01.01.2015</w:t>
            </w:r>
          </w:p>
        </w:tc>
      </w:tr>
      <w:tr w:rsidR="00773D1F" w:rsidRPr="00773D1F" w:rsidTr="00773D1F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73D1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31.03.2015</w:t>
            </w:r>
          </w:p>
        </w:tc>
      </w:tr>
      <w:tr w:rsidR="00773D1F" w:rsidRPr="00773D1F" w:rsidTr="00773D1F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73D1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3D1F" w:rsidRPr="00773D1F" w:rsidTr="00773D1F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18.06.2015 20:20:34</w:t>
            </w:r>
          </w:p>
        </w:tc>
      </w:tr>
      <w:tr w:rsidR="00773D1F" w:rsidRPr="00773D1F" w:rsidTr="00773D1F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3D1F">
              <w:rPr>
                <w:rFonts w:ascii="Times New Roman" w:eastAsia="Times New Roman" w:hAnsi="Times New Roman" w:cs="Times New Roman"/>
                <w:sz w:val="18"/>
                <w:szCs w:val="18"/>
              </w:rPr>
              <w:t>18.06.2015 20:20:34</w:t>
            </w:r>
          </w:p>
        </w:tc>
      </w:tr>
    </w:tbl>
    <w:p w:rsidR="00BC1EE2" w:rsidRDefault="00BC1EE2"/>
    <w:p w:rsidR="00773D1F" w:rsidRPr="00773D1F" w:rsidRDefault="00773D1F" w:rsidP="00773D1F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73D1F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773D1F" w:rsidRPr="00773D1F" w:rsidRDefault="00773D1F" w:rsidP="0077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773D1F" w:rsidRPr="00773D1F" w:rsidTr="00773D1F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773D1F" w:rsidRPr="00773D1F" w:rsidTr="00773D1F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24.04.2015</w:t>
            </w:r>
          </w:p>
        </w:tc>
      </w:tr>
      <w:tr w:rsidR="00773D1F" w:rsidRPr="00773D1F" w:rsidTr="00773D1F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773D1F" w:rsidRPr="00773D1F" w:rsidRDefault="00773D1F" w:rsidP="0077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1"/>
        <w:gridCol w:w="8649"/>
      </w:tblGrid>
      <w:tr w:rsidR="00773D1F" w:rsidRPr="00E025A5" w:rsidTr="00773D1F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773D1F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1 квартал 2015 р.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773D1F" w:rsidRPr="00E025A5" w:rsidTr="00773D1F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20820, 23481 (03433) 23581</w:t>
            </w:r>
          </w:p>
        </w:tc>
      </w:tr>
      <w:tr w:rsidR="00773D1F" w:rsidRPr="00E025A5" w:rsidTr="00773D1F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773D1F" w:rsidRPr="00E025A5" w:rsidTr="00773D1F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</w:p>
        </w:tc>
      </w:tr>
    </w:tbl>
    <w:p w:rsidR="00773D1F" w:rsidRPr="00773D1F" w:rsidRDefault="00773D1F" w:rsidP="00773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3754"/>
        <w:gridCol w:w="3615"/>
        <w:gridCol w:w="3296"/>
      </w:tblGrid>
      <w:tr w:rsidR="00773D1F" w:rsidRPr="00773D1F" w:rsidTr="00773D1F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773D1F" w:rsidRDefault="00773D1F"/>
    <w:p w:rsidR="00773D1F" w:rsidRPr="00773D1F" w:rsidRDefault="00773D1F" w:rsidP="00773D1F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73D1F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773D1F" w:rsidRPr="00773D1F" w:rsidRDefault="00773D1F" w:rsidP="0077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73D1F" w:rsidRPr="00E025A5" w:rsidTr="00773D1F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E025A5" w:rsidTr="00773D1F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lastRenderedPageBreak/>
              <w:t>3) інформація про собівартість реалізованої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73D1F" w:rsidRPr="00773D1F" w:rsidTr="00773D1F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3D1F" w:rsidRPr="00773D1F" w:rsidRDefault="00773D1F" w:rsidP="00773D1F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19. Примітки:</w:t>
            </w:r>
            <w:r w:rsidRPr="00773D1F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д/в</w:t>
            </w:r>
          </w:p>
        </w:tc>
      </w:tr>
    </w:tbl>
    <w:p w:rsidR="00773D1F" w:rsidRDefault="00773D1F"/>
    <w:p w:rsidR="00E025A5" w:rsidRDefault="00E025A5" w:rsidP="00E025A5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Зміст</w:t>
      </w:r>
    </w:p>
    <w:p w:rsidR="00E025A5" w:rsidRDefault="00E025A5" w:rsidP="00E02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2. Інформація про одержані ліцензії на окремі види діяльності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3. Інформація про посадових осіб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4. Інформація про господарську та фінансову діяльність емітента:</w:t>
            </w: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1) інформація про зобов’язання та забезпечення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3) інформація про собівартість реалізованої продукції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5. Відомості про цінні папери емітента:</w:t>
            </w: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1) інформація про випуски акцій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3) інформація про інші цінні папери, випущені емітентом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4) інформація про похідні цінні папери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6. Відомості щодо участі емітента в юридичних особах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8. Інформація про вчинення значних правочинів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11. Інформація про забезпечення випуску боргових цінних паперів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12. Інформація про конвертацію цінних паперів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17. Інформація про іпотечне покриття:</w:t>
            </w: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RP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E025A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E025A5" w:rsidRP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E025A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E025A5" w:rsidRP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E025A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E025A5" w:rsidRP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E025A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E025A5" w:rsidRP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E025A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E025A5" w:rsidRP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E025A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E025A5" w:rsidRP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E025A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P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E025A5" w:rsidTr="00E025A5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5A5" w:rsidRDefault="00E025A5">
            <w:pPr>
              <w:spacing w:line="180" w:lineRule="atLeast"/>
              <w:jc w:val="both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E025A5" w:rsidRDefault="00E025A5">
      <w:bookmarkStart w:id="0" w:name="_GoBack"/>
      <w:bookmarkEnd w:id="0"/>
    </w:p>
    <w:p w:rsidR="00F2231C" w:rsidRPr="00E025A5" w:rsidRDefault="00F2231C" w:rsidP="00F2231C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F2231C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</w:t>
      </w:r>
      <w:r w:rsidRPr="00E025A5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.Основні відомості про емітента</w:t>
      </w:r>
    </w:p>
    <w:p w:rsidR="00F2231C" w:rsidRPr="00E025A5" w:rsidRDefault="00F2231C" w:rsidP="00F2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F2231C" w:rsidRPr="00E025A5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13129493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lastRenderedPageBreak/>
              <w:t>4. Територія (область)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F2231C" w:rsidRPr="00F2231C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F2231C" w:rsidRPr="00F2231C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F2231C" w:rsidRPr="00F2231C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F2231C" w:rsidRPr="00F2231C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д/в</w:t>
                  </w:r>
                </w:p>
              </w:tc>
            </w:tr>
            <w:tr w:rsidR="00F2231C" w:rsidRPr="00F2231C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д/в</w:t>
                  </w:r>
                </w:p>
              </w:tc>
            </w:tr>
            <w:tr w:rsidR="00F2231C" w:rsidRPr="00F2231C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2231C" w:rsidRPr="00F2231C" w:rsidRDefault="00F2231C" w:rsidP="00F2231C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2231C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д/в</w:t>
                  </w:r>
                </w:p>
              </w:tc>
            </w:tr>
          </w:tbl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F2231C" w:rsidRDefault="00F2231C"/>
    <w:p w:rsidR="00F2231C" w:rsidRPr="00F2231C" w:rsidRDefault="00F2231C" w:rsidP="00F2231C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F2231C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F2231C" w:rsidRPr="00F2231C" w:rsidRDefault="00F2231C" w:rsidP="00F2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F2231C" w:rsidRPr="00F2231C" w:rsidTr="00F2231C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СЕ 057755 Коломийський РВ УМВС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20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товаритсво "Коломийський завод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</w:tbl>
    <w:p w:rsidR="00F2231C" w:rsidRPr="00F2231C" w:rsidRDefault="00F2231C" w:rsidP="00F2231C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</w:rPr>
      </w:pPr>
    </w:p>
    <w:p w:rsidR="00F2231C" w:rsidRPr="00F2231C" w:rsidRDefault="00F2231C" w:rsidP="00F2231C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</w:rPr>
      </w:pPr>
      <w:r w:rsidRPr="00F2231C">
        <w:rPr>
          <w:rFonts w:ascii="Tahoma" w:eastAsia="Times New Roman" w:hAnsi="Tahoma" w:cs="Tahoma"/>
          <w:color w:val="757575"/>
          <w:sz w:val="21"/>
          <w:szCs w:val="21"/>
        </w:rPr>
        <w:t>_______________</w:t>
      </w:r>
    </w:p>
    <w:p w:rsidR="00F2231C" w:rsidRPr="00F2231C" w:rsidRDefault="00F2231C" w:rsidP="00F2231C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F2231C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F2231C" w:rsidRPr="00E025A5" w:rsidRDefault="00F2231C" w:rsidP="00F2231C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E025A5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F2231C" w:rsidRPr="00E025A5" w:rsidRDefault="00F2231C">
      <w:pPr>
        <w:rPr>
          <w:lang w:val="ru-RU"/>
        </w:rPr>
      </w:pPr>
    </w:p>
    <w:p w:rsidR="00F2231C" w:rsidRPr="00F2231C" w:rsidRDefault="00F2231C" w:rsidP="00F2231C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F2231C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F2231C" w:rsidRPr="00F2231C" w:rsidRDefault="00F2231C" w:rsidP="00F2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2"/>
        <w:gridCol w:w="5478"/>
      </w:tblGrid>
      <w:tr w:rsidR="00F2231C" w:rsidRPr="00E025A5" w:rsidTr="00F2231C">
        <w:trPr>
          <w:trHeight w:val="315"/>
        </w:trPr>
        <w:tc>
          <w:tcPr>
            <w:tcW w:w="420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Товариство з обмеженою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дорв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"Ран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"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Товариство з обмеженою відповідальністю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19389532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76018,м.Iвано-Франкiвськ,вул.Василiянок 22, оф. 503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АВ 581088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15.03.2011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0342723800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0342723800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депозитарна дiяльнiсть- дiяльнiсть з ведення реєстру власникiв iменних цiнних паперiв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</w:tbl>
    <w:p w:rsidR="00F2231C" w:rsidRDefault="00F2231C"/>
    <w:p w:rsidR="00F2231C" w:rsidRPr="00F2231C" w:rsidRDefault="00F2231C" w:rsidP="00F2231C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F2231C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F2231C" w:rsidRPr="00F2231C" w:rsidRDefault="00F2231C" w:rsidP="00F2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F2231C" w:rsidRPr="00E025A5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Дата реєстрації випуску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900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F2231C" w:rsidRDefault="00F2231C"/>
    <w:p w:rsidR="00F2231C" w:rsidRDefault="00F2231C" w:rsidP="00F2231C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F2231C" w:rsidRDefault="00F2231C" w:rsidP="00F223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F2231C" w:rsidTr="00F2231C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04 | 01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2610600000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28.30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78200,вул. Пушк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F2231C" w:rsidRDefault="00F2231C" w:rsidP="00F2231C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F2231C" w:rsidRPr="00E025A5" w:rsidTr="00F2231C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</w:tr>
      <w:tr w:rsidR="00F2231C" w:rsidRPr="00E025A5" w:rsidTr="00F2231C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lastRenderedPageBreak/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2231C" w:rsidTr="00F2231C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F2231C" w:rsidRDefault="00F2231C" w:rsidP="00F2231C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F2231C" w:rsidRPr="00F2231C" w:rsidRDefault="00F2231C" w:rsidP="00F2231C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F2231C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F2231C">
        <w:rPr>
          <w:rFonts w:ascii="Tahoma" w:hAnsi="Tahoma" w:cs="Tahoma"/>
          <w:color w:val="0065A3"/>
          <w:lang w:val="ru-RU"/>
        </w:rPr>
        <w:br/>
        <w:t>на 31.03.2015 р.</w:t>
      </w:r>
    </w:p>
    <w:p w:rsidR="00F2231C" w:rsidRPr="00F2231C" w:rsidRDefault="00F2231C" w:rsidP="00F2231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F2231C" w:rsidRPr="00E025A5" w:rsidTr="00F2231C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17395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57630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53888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39070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36493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18599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17423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2646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lastRenderedPageBreak/>
              <w:t>Дебіторська заборгованість за розрахунками: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4372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22971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F2231C" w:rsidRPr="00E025A5" w:rsidTr="00F2231C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lastRenderedPageBreak/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13312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8954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13772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9414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2992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8733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22971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F2231C" w:rsidTr="00F2231C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F2231C" w:rsidTr="00F2231C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04 | 01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2231C" w:rsidRDefault="00F2231C" w:rsidP="00F2231C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lastRenderedPageBreak/>
        <w:br/>
      </w:r>
    </w:p>
    <w:p w:rsidR="00F2231C" w:rsidRPr="00F2231C" w:rsidRDefault="00F2231C" w:rsidP="00F2231C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F2231C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F2231C">
        <w:rPr>
          <w:rFonts w:ascii="Tahoma" w:hAnsi="Tahoma" w:cs="Tahoma"/>
          <w:color w:val="0065A3"/>
          <w:lang w:val="ru-RU"/>
        </w:rPr>
        <w:br/>
        <w:t>за 1 квартал 2015 р.</w:t>
      </w:r>
    </w:p>
    <w:p w:rsidR="00F2231C" w:rsidRPr="00F2231C" w:rsidRDefault="00F2231C" w:rsidP="00F2231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2231C" w:rsidRPr="00E025A5" w:rsidTr="00F2231C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811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-552 )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-750 )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-1180 )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-879 )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-152 )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-52 )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-1107 )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-912 )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-2410 )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-1782 )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75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-422 )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-325 )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-725 )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-2032 )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lastRenderedPageBreak/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-725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-2032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-1280 )</w:t>
            </w:r>
          </w:p>
        </w:tc>
      </w:tr>
    </w:tbl>
    <w:p w:rsidR="00F2231C" w:rsidRDefault="00F2231C" w:rsidP="00F2231C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2231C" w:rsidRPr="00E025A5" w:rsidTr="00F2231C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-725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-2032</w:t>
            </w:r>
          </w:p>
        </w:tc>
      </w:tr>
    </w:tbl>
    <w:p w:rsidR="00F2231C" w:rsidRDefault="00F2231C" w:rsidP="00F2231C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2231C" w:rsidTr="00F2231C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239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470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902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2027</w:t>
            </w:r>
          </w:p>
        </w:tc>
      </w:tr>
    </w:tbl>
    <w:p w:rsidR="00F2231C" w:rsidRDefault="00F2231C" w:rsidP="00F2231C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2231C" w:rsidRPr="00E025A5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РОЗРАХУНОК ПОКАЗНИКІВ ПРИБУТКОВОСТІ АКЦІЙ</w:t>
            </w:r>
          </w:p>
        </w:tc>
      </w:tr>
    </w:tbl>
    <w:p w:rsidR="00F2231C" w:rsidRP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2231C" w:rsidTr="00F2231C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F2231C" w:rsidTr="00F2231C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д\в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2231C" w:rsidRDefault="00F2231C" w:rsidP="00F2231C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F2231C" w:rsidTr="00F2231C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04 | 01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2231C" w:rsidRDefault="00F2231C" w:rsidP="00F2231C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F2231C" w:rsidRPr="00F2231C" w:rsidRDefault="00F2231C" w:rsidP="00F2231C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F2231C">
        <w:rPr>
          <w:rFonts w:ascii="Tahoma" w:hAnsi="Tahoma" w:cs="Tahoma"/>
          <w:color w:val="0065A3"/>
          <w:lang w:val="ru-RU"/>
        </w:rPr>
        <w:lastRenderedPageBreak/>
        <w:t>Звіт про рух грошових коштів (за прямим методом)</w:t>
      </w:r>
      <w:r w:rsidRPr="00F2231C">
        <w:rPr>
          <w:rFonts w:ascii="Tahoma" w:hAnsi="Tahoma" w:cs="Tahoma"/>
          <w:color w:val="0065A3"/>
          <w:lang w:val="ru-RU"/>
        </w:rPr>
        <w:br/>
        <w:t>за 1 квартал 2015 р.</w:t>
      </w:r>
    </w:p>
    <w:p w:rsidR="00F2231C" w:rsidRPr="00F2231C" w:rsidRDefault="00F2231C" w:rsidP="00F2231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2231C" w:rsidRPr="00E025A5" w:rsidTr="00F2231C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521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88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248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-580 )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-613 )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-958 )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-231 )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-6 )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( 32 )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повернення авансів/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td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-43 )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-1083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-56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-176 )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1078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70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lastRenderedPageBreak/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14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F2231C" w:rsidTr="00F2231C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2231C" w:rsidRDefault="00F2231C" w:rsidP="00F2231C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F2231C" w:rsidTr="00F2231C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04 | 01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2231C" w:rsidRDefault="00F2231C" w:rsidP="00F2231C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F2231C" w:rsidRPr="00F2231C" w:rsidRDefault="00F2231C" w:rsidP="00F2231C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F2231C">
        <w:rPr>
          <w:rFonts w:ascii="Tahoma" w:hAnsi="Tahoma" w:cs="Tahoma"/>
          <w:color w:val="0065A3"/>
          <w:lang w:val="ru-RU"/>
        </w:rPr>
        <w:t>Звіт про рух грошових коштів (за непрямим методом)</w:t>
      </w:r>
      <w:r w:rsidRPr="00F2231C">
        <w:rPr>
          <w:rFonts w:ascii="Tahoma" w:hAnsi="Tahoma" w:cs="Tahoma"/>
          <w:color w:val="0065A3"/>
          <w:lang w:val="ru-RU"/>
        </w:rPr>
        <w:br/>
        <w:t>за 1 квартал 2015 р.</w:t>
      </w:r>
    </w:p>
    <w:p w:rsidR="00F2231C" w:rsidRPr="00F2231C" w:rsidRDefault="00F2231C" w:rsidP="00F2231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F2231C" w:rsidRPr="00E025A5" w:rsidTr="00F2231C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F2231C" w:rsidTr="00F2231C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F2231C" w:rsidRP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Коригування на: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2231C" w:rsidRPr="00E025A5" w:rsidTr="00F2231C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F2231C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F2231C" w:rsidTr="00F2231C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2231C" w:rsidRDefault="00F2231C" w:rsidP="00F2231C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F2231C" w:rsidTr="00F2231C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04 | 01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2231C" w:rsidRDefault="00F2231C" w:rsidP="00F2231C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lastRenderedPageBreak/>
        <w:br/>
      </w:r>
    </w:p>
    <w:p w:rsidR="00F2231C" w:rsidRPr="002F0451" w:rsidRDefault="00F2231C" w:rsidP="00F2231C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2F0451">
        <w:rPr>
          <w:rFonts w:ascii="Tahoma" w:hAnsi="Tahoma" w:cs="Tahoma"/>
          <w:color w:val="0065A3"/>
          <w:lang w:val="ru-RU"/>
        </w:rPr>
        <w:t>Звіт про власний капітал</w:t>
      </w:r>
      <w:r w:rsidRPr="002F0451">
        <w:rPr>
          <w:rFonts w:ascii="Tahoma" w:hAnsi="Tahoma" w:cs="Tahoma"/>
          <w:color w:val="0065A3"/>
          <w:lang w:val="ru-RU"/>
        </w:rPr>
        <w:br/>
        <w:t>за 1 квартал 2015 р.</w:t>
      </w:r>
    </w:p>
    <w:p w:rsidR="00F2231C" w:rsidRPr="002F0451" w:rsidRDefault="00F2231C" w:rsidP="00F2231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301"/>
        <w:gridCol w:w="1784"/>
        <w:gridCol w:w="1330"/>
        <w:gridCol w:w="1412"/>
        <w:gridCol w:w="1332"/>
        <w:gridCol w:w="1793"/>
        <w:gridCol w:w="1545"/>
        <w:gridCol w:w="1333"/>
        <w:gridCol w:w="1307"/>
      </w:tblGrid>
      <w:tr w:rsidR="00F2231C" w:rsidTr="00F2231C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Всього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13312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13772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13312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13772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-725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-725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b/>
                <w:bCs/>
                <w:color w:val="0065A3"/>
                <w:sz w:val="17"/>
                <w:szCs w:val="17"/>
                <w:lang w:val="ru-RU"/>
              </w:rPr>
              <w:t>Розподіл прибутку:</w:t>
            </w: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Внески учасників:</w:t>
            </w: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lastRenderedPageBreak/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2F0451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Вилучення капіталу:</w:t>
            </w:r>
            <w:r w:rsidRPr="002F0451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-3633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-3633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8954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9414</w:t>
            </w:r>
          </w:p>
        </w:tc>
      </w:tr>
    </w:tbl>
    <w:p w:rsidR="00F2231C" w:rsidRDefault="00F2231C" w:rsidP="00F22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F2231C" w:rsidTr="00F2231C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2231C" w:rsidTr="00F2231C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Default="00F2231C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2231C" w:rsidRDefault="00F2231C"/>
    <w:p w:rsidR="00F2231C" w:rsidRPr="00F2231C" w:rsidRDefault="00F2231C" w:rsidP="00F2231C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F2231C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Примітки до фінансової звітності, складеної відповідно до міжнародних стандартів фінансової звітності</w:t>
      </w:r>
    </w:p>
    <w:p w:rsidR="00F2231C" w:rsidRPr="00F2231C" w:rsidRDefault="00F2231C" w:rsidP="00F2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2231C" w:rsidRPr="00E025A5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lastRenderedPageBreak/>
              <w:t xml:space="preserve">1. ЗАГАЛЬНА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Повна назва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дприємства -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“Коломийський завод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машин”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Скорочена назва - ВАТ ”Коломияс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льмаш”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Адреса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дприємства –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вська обл., м. Коломия, вул. Пушк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 6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За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оди, зак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нчуючи роком, що завершився 31 грудня 2011р., публ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чне 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«Коломияс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льмаш» готувала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нац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ональних стандарт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бухгалтерського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 України. Ця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є першою попередньою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нансовою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стю, складеною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МСФЗ.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24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2. ПРИЙНЯТТЯ НОВИХ ТА ПЕРЕГЛЯНУТ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СТАНДАРТИ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переглянут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стандарти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нтерпретац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Правка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12 «Податок на прибуток» - «В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дстрочен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податки –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дшкодування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що лежать у основ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дстрочений податк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в»;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Правки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7 «Ф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нструменти: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ї» - «вдосконалення вимог щодо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припинення визнання».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Вплив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прийнятих стандарт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Правка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12 «Податок на прибуток» - «В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дстрочен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податки –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дшкодування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що лежать у основ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дстрочений податк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в»;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Правка стосується механ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зму визначення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дстроченого податку щодо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нвестиц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йної нерухомост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яка переоц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нюється за справедливою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стю. 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2012р та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єї дати.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Правка не вплинула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положення,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результати або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ю, яку розкриває Товариство.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Правки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7 «Ф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нструменти: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ї» - «вдосконалення вимог щодо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припинення визнання».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 xml:space="preserve">Правка вимагає розкриття додаткової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було передано, але визнання яких не припинялося, щоб дати можлив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користувачам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зрозум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ти характер взаємозв’язку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в, визнання яких не припинялося,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дних їм зобов’язань. 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м цього, з метою надання користувачам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можлив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нити характер участ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 у таких активах, та ризики,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зв’язан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цими активами, правкою передбачено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об активах, участь у яких продовжується, але визнання у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припинено. 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липня 2011р та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E025A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єї дати.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Правка не вплинула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положення,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результати або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ю, яку розкриває Товариство.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Стандарти,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були випущен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але не набрали чинност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 xml:space="preserve">Нижче наводяться стандарти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нтерпретац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були випущен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але не набрали чинност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на дату випуску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Товариства. Товариства мають нам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 використовувати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стандарти з дати їх вступу в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Поправки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 «Ф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сть: представленн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ї» - «Представлення статей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ншого сукупного доходу»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Правки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 групування статей,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надаються у склад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ншого сукупного доходу. Статт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можуть бути перекласиф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складу прибутк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або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у певний момент у майбутньому (наприклад, чист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або доходи по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нансовим активам,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є у наявност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для продажу), повинн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приводитися окремо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статей,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коли не будуть пере класиф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(наприклад, переоц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нка земл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будинк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в). Правка впливає виключно на представлення та не впливає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або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результати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Товариства. 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липня 2012р та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єї дати, та буде використана у перш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Товариства, яку буде складено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того, як вона набере чинност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19 «Винагороди роб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тникам» (у 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редакц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ї).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Рада по МСФЗ випустила дек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лька правок к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19.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правки або фундаментально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 (наприклад, виключення механ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зму коридору та поняття доходност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плану, яка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кується), або роз’яснюють, або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 визначення. 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 та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єї дати. Правка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положення,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результати або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ю, яку розкриває Товариство.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28 «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нвестиц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у асоц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 та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дприємства» (у редакц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2011року).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У результат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опубл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кування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11 «Погодження про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льну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сть» та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) 12 «Розкриття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частки участ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Товариствах»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28 отримав нову назву «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нвестиц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у асоц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 та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дприємства» та тепер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стить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 про використання методу пайової участ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льки по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дношенню до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нвестиц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у асоц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Товариства, але також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дношенню до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льних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дприємств. 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2013р. Правка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положення,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результати або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ю, яку розкриває Товариство.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Правки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32 «Взаємозал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зобов’язань».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Правки дають роз’яснення поняттю «у тепер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час мають юридичне право, яке закр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плене, на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йснення взаємозал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ку». 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2014р та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та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нансовий результат Товариства.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Правки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 «Позики,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надан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державою».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цих правок Товариства,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використовують МСФЗ у перше, повинн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використовувати вимоги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20 «Обл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 державних субсид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й та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державну допомогу» перспективно по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дношенню до державних позик,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мають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сце на дату переходу на МСФЗ. Завдяки цьому виключенню Товариства,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перше використовують МСФЗ, будуть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ретроспективної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 наданих позик по ставц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нижче ринкової. 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 та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та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нансовий результат Товариства.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Правки до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) 7 «Розкриття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– взаємозал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зобов’язань»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дно до цих правок Товариство зобов’язана розкривати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 про права на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йснення взаємозал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 та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дних договор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(наприклад, догов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 на надання забезпечення). Завдяки цим вимогам користувач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матимуть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ю, яка буде корисною для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 впливу договор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про взаємозал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ки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Товариства. 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 та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та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нансовий результат Товариства.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9 «Ф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нструменти: класиф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та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нка»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lastRenderedPageBreak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9 використовується по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дношенню до класиф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та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зобов’язань. Обов’язкове використання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норм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9 було перенесено на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2015року. Товариство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нить вплив цього стандарту на суми у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поєднанн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ншими етапами проекту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їх публ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10 «Консол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дована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сть»,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27 «Окрема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10 зам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нює ту частину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27 «Консол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дована та окрема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сть», у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розглядався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 у консол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 Стандарт також розглядає питання,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ше розглядалися у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нтерпретац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-12 «Консол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– Товариства спец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ального призначення».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10 передбачає єдину модель контролю, яка використовується по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дношенню до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х компан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й, включаючи Товариства спец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ального призначення. Правка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 та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та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нансовий результат Товариства.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11 «Погодження про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льну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11 зам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няє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31 «Участь у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»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нтерпретац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 ПК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-13 «Товариства,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льно контролюються – немонетарн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внески учасник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в».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11 виключає можлив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 компан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й, що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льно контролюються, методом пропорц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йної консол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Зам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цього Товариства,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льно контролюються,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задовольняють визначенню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льних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дприємств,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ковуються за допомогою методу пайової участ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 Стандарт вступає в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 та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єї дати та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та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нансовий результат Товариства.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) 12 «Розкриття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частки участ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Товариствах».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12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стить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вимоги до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ше передбачалися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27 у частин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консол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дованої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а також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вимоги,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ше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стилися у МСФО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31 та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) 28. Також введено низку нових вимог до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Стандарт вступає в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 та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єї дати та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та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нансовий результат Товариства.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13 «Оц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нка справедливої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13 поєднує в одному стандарт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вказ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вки щодо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 справедливої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МСФЗ.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13 не вносить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 в те, коли Товариство зобов’язане використовувати справедливу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сть, а надає вказ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вки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дносно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 справедливої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МСФЗ, коли використання справедливої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вимагається або не заперечується. На цей час Товариство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нює вплив використання стандарту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та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результати його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 Стандарт вступає в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 для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починаючи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 та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єї дати.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нтерпретац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IFRIC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20 «Витрати на розкривн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роботи на етап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експлуатац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родовища, що розробляється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дкритим способом».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нтерпретац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використовується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дносно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тних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починаються з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2013р. та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єї дати. Ця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нтерпретац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не вплине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Товариства.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«Щор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вдосконалення МСФЗ» (травень 2012р.)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Перел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нижче вдосконалення не вплинуть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Товариства: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 «Перше застосування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жнародних стандарт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Це вдосконалення пояснює, що Товариство, яка припинило використовувати МСФЗ у минулому та вир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шило, або зобов’язана знову складати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МСФЗ, може використати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 ще раз. Якщо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IFRS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 не використовується другий раз, то Товариство повинно ретроспективно перерахувати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так, як би воно 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коли не припиняло використовувати МСФЗ.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 «Представлення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Це вдосконалення роз’яснює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зницю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 додатковою пор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вняльною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єю, яка надається на добров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основ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мумом необх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дної пор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вняльної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Як правило,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мально необх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дною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єю є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за попередн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16 «Основн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засоби»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Це вдосконалення роз’яснює, що 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запасн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частини та допом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жне обладнання,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задовольняють визначенню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не є запасами.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32 «Ф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нструменти: надання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Це вдосконалення пояснює, що податок на прибуток, який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дноситься до виплат на користь 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ковується у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12 «Податок на прибуток».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МСФЗ (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IAS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34 «Пром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Це вдосконалення приводить у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вимоги по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дношенню розкриття у пром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загальн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суми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сегменту з вимогами по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дношенню з розкриттям у 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й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зобов’язання сегменту.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перел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вдосконалення вступають у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 по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дношенню до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тних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починаються 1 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чня 2013р. або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єї дати.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lastRenderedPageBreak/>
              <w:t>3. ОСНОВНI ПРИНЦИПИ БУХГАЛТЕРСЬКОГО ОБЛIКУ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Грошовi кошти та їх еквiваленти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Грошовi кошти складаються з готiвки в касi та рахункiв у банках.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Дебiторська заборгованiсть та позики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 xml:space="preserve">Торгова дебiторська заборгованiсть, виданi позики та iнша дебiторська заборгованiсть, якi мають фiксованi або визначенi платежi, i якi не користуються попитом на активному ринку, класифiкуються як позики та дебiторська заборгованiсть.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Позики та деб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торська заборгован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нюються за амортизованою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з використанням методу ефективної ставки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дсотка, за вирахуванням збитку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знец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нення. Процентн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доходи визнаються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 застосуванням методу ефективної ставки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дсотка, за винятком короткострокової деб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торської заборгованост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коли визнання процент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не буде суттєвим.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Резерв на покриття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визначається як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зниця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 балансовою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та тепер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шньою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куваних майбутн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х грошових поток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 Визначення суми резерву та покриття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дбувається на основ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анал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зу деб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дображає суму, яка, на думку кер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вництва, достатня для покриття понесених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 Для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є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стотними, резерви створюються на основ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ндив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дуальної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 окремих деб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для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в, суми яких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ндив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дуально не є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стотними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lastRenderedPageBreak/>
              <w:t>– на основ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групової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нки. Фактори,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Товариство розглядає при визначенн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того, чи є у нього об’єктивн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дчення наявност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, включають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 про тенденц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непогашення заборгованост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строк, 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сть, платоспроможн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боржника. Для груп деб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такими факторами є негативн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 у стан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платеж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позичальник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у груп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таких як зб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льшення 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лькост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прострочених платеж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негативн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умови у галуз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або географ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чному рег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Сума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визнається у прибутку або збитку. Якщо у наступному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сума збитку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зменшується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це зменшення може бути об’єктивно пов’язане з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єю, яка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дбувається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визнання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то попередньо визнаний збиток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сторнується за рахунок коригувань резерв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 Сума сторнування визнається у прибутку чи збитку. У раз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неможливост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повернення деб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торської заборгованост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вона списується за рахунок створеного резерву на покриття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 Товариства складаються з наступних категор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й: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нюваних за справедливою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стю через прибутки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збитки , утримуваних до погашення , таких, що є в наявност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для продажу , а також позик, деб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торської заборгованост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грошових кошт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днесення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до 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єї або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ншої категор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залежить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 їх особливостей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лей придбання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дбувається у момент їх прийняття до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ку.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стандартн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по покупц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або продажу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признаються на дату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йснення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Стандартн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по покупц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або продажу є покупкою або продажем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що вимагає постачання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 терм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ни, встановлен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нормативними актами або ринковою практикою.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активи, доступн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для продажу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До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доступних для продажу, Товариство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дносить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нвестиц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в 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якщо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дсоток волод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менше 20%.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перв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сного визнання Товариство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нює їх за справедливою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стю. Доходи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витрати,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 справедлив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що виникають в результат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, признаються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ншому сукупному доход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накопичуються в резерв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переоц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вкладень, за винятком випадк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 знец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ненням процентного доходу, розрахованого по методу ефективної процентної ставки,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курсових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зниць,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дображаються в прибутках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збитках. При вибутт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або знец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нансового активу накопичен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доходи або витрати, що ран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ше визнаються в резерв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переоц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вкладень,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дносяться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результати в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вибуття або знец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нення.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Справедлива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грошових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ноземн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валют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визначається в 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же валют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перераховується за обм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нним курсом на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тну дату. Курсов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зниц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дносяться на прибутки або збитки, визначаються виходячи з амортизованої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грошового активу.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курсов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зниц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признаються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ншому сукупному доход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зобов’язання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зобов'язання - це будь-яке зобов'язання, що є: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а) контрактним зобов'язанням: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надавати грошов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кошти або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нший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нансовий актив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ншому суб'єктов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господарювання, або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обм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нюватися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нансовими активами або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нансовими зобов'язаннями з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ншим суб'єктом господарювання за умов,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є потенц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 несприятливими для суб'єкта господарювання, або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б) контрактом, розрахунки за яким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йснюватимуться або можуть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йснюватися власними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нструментами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 суб'єкта господарювання та який є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непох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дним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нструментом, за яким суб'єкт господарювання зобов'язаний або може бути зобов'язаний надавати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нну 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власних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 суб'єкта господарювання, або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) пох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дним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нструментом, розрахунки за яким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йснюватимуся або можуть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йснюватися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ншим чином, 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 обм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ксованої суми грошових кошт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 або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ншого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нансового активу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ксовану 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власних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 суб'єкта господарювання.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зобов’язання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зобов'язання, включаючи позики, спочатку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нюються за справедливою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стю, за вирахуванням витрат на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йснення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ї.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зобов'язання згодом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нюються за амортизованою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з використанням методу ефективної ставки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дсотка.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Згортання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зобов’язань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 та зобов’язання згортаються, якщо Товариство має юридичне право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йснювати зал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 визнаних у баланс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сум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має нам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 або зробити взаємозал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к, або реал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зувати актив та виконати зобов’язання одночасно.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засоби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Товариство визнає 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альний об’єкт основним засобом, якщо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 утримується з метою використання їх у процес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своєї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надання послуг, або для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йснення адм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стративних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ально-культурних функц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й,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куваний строк корисного використання (експлуатац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ї) яких 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льше одного року та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яких 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льша 2500 грн.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Перв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сно Товариство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нює 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засоби за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стю. Розглянувши доречн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застосування будь-якого з виключень, передбачених МСФЗ 1, щодо ретроспективного застосування, кер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вництво вир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шило застосувати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сторичну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як доц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льну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об'єкта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визнається активом, якщо 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- майбутн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вигоди, пов'язан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об'єктом, над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йдуть до суб'єкта господарювання;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-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об'єкта можна достов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нити.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Запасн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частини та допом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жне обладнання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дображаються як запаси та визнаються в прибутку чи збитку в процес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їхнього споживання, якщо запасн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частини та допом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жне обладнання використовуються протягом 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льше одного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 їх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ковують, як 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засоби.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засоби враховуються у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положення за первинною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стю, що включає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витрати, необх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для доведення активу до стану, придатного до використання, за вирахуванням накопиченої 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ї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знец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нення.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lastRenderedPageBreak/>
              <w:t>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включають 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на модерн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ю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ну частин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льшують терм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 їх корисної експлуатац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або покращують їх здатн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отримувати доходи. Витрати на ремонт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обслуговування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дають приведеним вище критер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ям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дображаються в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про сукупн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доходи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того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оду, в якому вони були понесен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Сума, що амортизується, – це первинна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об'єкту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або переоц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нена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сть, за вирахуванням його 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йна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дор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внює нулю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внасл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док цього є несуттєвою при обчисленн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суми, що амортизується.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призначена для списання суми, що амортизується, впродовж терм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ну корисного використання активу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розраховується з використанням прямол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йного методу. Терм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 корисного використання груп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представлен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таким чином: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Будинки 28 рок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Обладнання 10-20 рок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Транспортн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засоби 10рок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Мебл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засоби 20-10 рок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засоби 20-10рок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йна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сть, терм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ни корисного використання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метод нарахування 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розглядаються на 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нець кожного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нансового року. Вплив будь-яких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н, що виникають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нок, зроблених в попередн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оди, враховується як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кової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Дох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або збиток, що виникають в результат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вибуття або 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об'єкту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визначається як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зниця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 сумами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 продажу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балансовою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стю активу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визнається в прибутках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збитках.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Незавершене буд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вництво включає витрати, безпосередньо пов'язан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буд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вництвом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плюс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дний розпод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нних накладних витрат, безпосередньо пов'язаних з буд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вництвом. Незавершене буд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вництво не амортизується.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незавершеного буд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вництва, аналог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чно об'єктам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починається з моменту готовност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даних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до експлуатац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тобто коли вони знаходяться в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стан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що забезпечує їх функц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онування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нам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кер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Припиняється визнання балансової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об'єкта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а)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вибуття, або продажу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б) коли не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кують майбутн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х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виг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його використання або вибуття.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Нематер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Нематер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нюються за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за вирахуванням будь-якої накопиченої 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та будь-яких накопичених збитк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 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нематер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йснюється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 застосуванням прямол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йного методу.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терм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ни корисного використання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метод нарахування 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анал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зуються на 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нець кожного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тного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оду, при цьому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 в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нках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дображаються в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без перерахування пор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вняльних показник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 Нематер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виникають у результат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догов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рних або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юридичних прав, амортизуються протягом терм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ну чинност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цих прав.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нематер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альних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На кожну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тну дату Товариство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нює, чи є якась ознака того, що корисн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активу може зменшитись.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дприємство зменшує балансову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активу до суми його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дшкодування, якщо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льки якщо сума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куваного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дшкодування активу менша його балансової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 Таке зменшення негайно визнається в прибутках чи збитках, якщо актив не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ковують за переоц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неною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зг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з МСБО 16. Збиток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визнаний для активу в попередн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х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одах, Товариство сторнує, якщо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льки якщо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нилися попередн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нки, застосован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для визначення суми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куваного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дшкодування.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визнання збитку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зменшення корисност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основних засоб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коригується в майбутн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х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одах з метою розпод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лення переглянутої балансової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необортного активу на систематичн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основ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протягом строку корисного використання.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Запаси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запас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включає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на придбання, витрати на переробку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витрати, понесен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час доставки запас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до їх тепер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шнього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сцезнаходження та приведення їх у тепер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стан. Запаси в товариств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дображаються за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Витрати на придбання запас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складаються з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 придбання, вв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зного мита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податк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(окр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м тих, що згодом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дшкодовуються податковими органами), а також з витрат на транспортування, навантаження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розвантаження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витрат, безпосередньо пов'язаних з придбанням готової продукц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послуг. Торговельн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знижки,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знижки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бн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їм статт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вираховуються при визначенн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 на придбання.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Витрати на переробку запас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охоплюють витрати, прямо пов'язан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одиницями виробництва. Вони також включають систематичний розпод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 пост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йних та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нних виробничих накладних витрат, що виникають при переробц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у готову продукц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ю. До пост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йних виробничих накладних витрат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дносяться непрям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на виробництво,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залишаються пор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вняно незм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нними незалежно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обсягу виробництва, так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як амортизац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я, утримання буд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вель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обладнання заводу, а також витрати на управл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та адм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стративн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заводу. До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нних виробничих накладних витрат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дносяться непрям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на виробництво,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нюються прямо (або майже прямо) пропорц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 обсягу виробництва, так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як витрати на допом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матер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али та непрям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 на оплату прац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запас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визначається за формулою - "перше надходження - перший видаток" (Ф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ФО) 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Резерви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Резерви визнаються, коли Товариство має тепер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шню заборгован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(юридичну або конструктивну) внасл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док минулої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ї,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снує ймов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(тобто 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 можливо, 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 неможливо), що погашення зобов’язання вимагатиме вибуття ресурс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котр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люють у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вигоди,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можна достов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нити суму зобов’язання.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Сума, визнана в якост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резерву, є найкращою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нкою компенсац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необх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дної для врегулювання поточного зобов'язання на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тну дату, беручи до уваги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ризики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невизначеност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супутн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даним зобов'язанням. У тих випадках, коли резерв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нюється з використанням поток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грошових кошт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в, за допомогою яких передбачається погасити поточний зобов'язання,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lastRenderedPageBreak/>
              <w:t>його балансова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являє собою поточну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даних грошових поток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Виплати прац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вникам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Товариство визнає короткостроков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виплати прац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вникам як витрати та як зобов’язання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вирахування будь-якої вже сплаченої суми. Товариство визнає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кувану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короткострокових виплат прац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вникам за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дсутн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як забезпечення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дпусток –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час надання прац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вникам послуг,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льшують їхн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права на майбутн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виплати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дпускних.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Пенс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зобов’язання.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Товариство зд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йснює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драхування та нарахування в Пенс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йний фонд України виходячи з зароб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тної плати кожного прац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вника. Витрати Товариства за такими внесками включен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статт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«Зароб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тна плата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витрати». Дана сума включається до витрат того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оду, коли вони фактично понесен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Доходи та витрати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Доходи та витрати визнаються за методом нарахування. Дох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надання послуг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дображаються в момент виникнення незалежно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дати надходження кошт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визначається, виходячи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 ступеня завершеност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надання послуг на дату балансу.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Витрати, понесен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зв’язку з отриманням доходу, визнаються у тому ж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що й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доходи.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Доходи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реал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продукц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Доходи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реал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продукц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визнаються за умови виконання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х наведених нижче умов: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? товариство передало покупцев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стотн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ризики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вигоди, пов'язан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власн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на продукц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ю;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? за товариством не залишається подальша участь управл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нського персоналу у форм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яка пов'язана з волод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нням, 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ефективний контроль за проданими товарами;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? суму доходу можна достов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нити;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 xml:space="preserve">?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снує висока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рог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отримання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вигод, пов'язаних з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єю,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? понесен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або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витрати, пов'язан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єю, можуть бути достов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рно визначен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Надання послуг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Доходи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надання послуг визнаються, коли: сума доход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може бути достов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рно визначена;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снує ймов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того, що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вигоди, пов'язан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єю, будуть отриман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Товариством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понесен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або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куван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витрати, пов'язан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єю, можуть бути достов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рно визначен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Доходи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реал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являють собою суми до отримання за товари та послуги, надан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 ход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звичайної господарської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за вирахуванням оч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куваних повернень товару покупцями, знижок та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аналог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драхувань, а також за вирахуванням податку на додану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(«ПДВ»).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Витрати за позиками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Витрати за позиками,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є часткою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нансового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нструменту та не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зуються як частина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визнаються як витрати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оду.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дприємство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зує витрати на позики,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безпосередньо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дносяться до придбання, буд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вництва або виробництва квал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кованого активу, як частина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цього активу.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ї з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ноземною валютою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х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ноземн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валют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обл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ковуються в українських гривнях за оф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йним курсом обм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ну НБУ на дату проведення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Монетарн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 та зобов’язання, виражен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ноземних валютах, перераховуються в гривню за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дними курсами обм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ну НБУ на дату балансу. Немонетарн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статт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нюються за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сторичною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стю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ноземн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валют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дображаються за курсом на дату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немонетарн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статт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нюються за справедливою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стю 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ноземн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валют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дображаються за курсом на дату визначення справедливої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 Курсов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зинц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що виникли при перерахунку за монетарними статтями, визнаються в прибутку або збитку в тому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у якому вони виникають.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Умовн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зобов’язання та активи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Товариство не визнає умовн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зобов’язання.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про умовне зобов’язання розкривається, якщо можлив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вибуття ресурс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люють у соб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вигоди, не є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ддаленою. Товариство не визнає умовн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активи. Стисла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про умовний актив розкривається, коли надходження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чних вигод є ймов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рним.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що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дбулися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тної дати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При складанн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ВАТ враховує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що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дбулися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тної дати,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дображає їх у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МСБО 10 «Под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зак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нчення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тного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оду».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ВАТ коригує суми, визнан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для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дображення коригувальних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зак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нчення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тного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оду, якими є: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- врегулювання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й, що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дтверджують наявн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стотного зобов'язання на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тну дату;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 xml:space="preserve">- отримання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про знец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нення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на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тну дату;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- визначення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придбаних до зак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нчення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тного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оду;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- виявлення помилок, що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дтверджують, що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є неправильною.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ВАТ не коригує суми, визнан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для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дображення тих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й, що коригуються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зак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нчення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тного пер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оду, якими є: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- Зниження ринкової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нвестиц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Форми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Баланс складається шляхом розпод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лу актив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зобов'язань на поточн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довгостроков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 про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результати складається шляхом розпод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лу витрат за функц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ональною ознакою.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lastRenderedPageBreak/>
              <w:t>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 про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ни у власному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представляється у розгорнутому формат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 про рух грошових кошт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складається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МСБО 7 прямим методом.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Прим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тки до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складаються у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обов'язковими вимогами до розкриття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викладеними в МСФЗ.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4. УПРАВЛ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РИЗИКАМИ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Управл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ризиком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Товариство управляє своїм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талом для забезпечення безперервної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дприємства в майбутньому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одночасної максим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прибутку акц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за рахунок оптим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сп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дношення позикових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власних кошт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 Кер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вництво регулярно переглядає структуру свого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талу. На основ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результат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такого перегляду Товариство вживає заход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для збалансування загальної структури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 шляхом отримання нових кредит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 або погашення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снуючої заборгованост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категор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нансових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Основн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зобов'язання Товариства включають, кредиторську заборгован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сть, а також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довгостроков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зобов'язання. Основною метою даних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нансових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нструмент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є залучення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нансування для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йної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Товариства. Товариство має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активи, так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як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нвестиц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нюються за справедливою варт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стю через прибутки та збитки,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нвестиц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ї, наявн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 наявн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для продажу, деб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торська заборгован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сть, а також грошов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кошти.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5. УМОВН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КОНТРАКТН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ЗОБОВ’ЯЗАННЯ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йне середовище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Незважаючи на те, що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ка України визнана ринковою, вона продовжує демонструвати деяк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особливост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, притаманн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перех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 Так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особливост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характеризуються, але не обмежуються, низьким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внем 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на ринках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талу,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дносно високим 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внем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нфляц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та наявн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валютного контролю, що не дозволяє нац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ональн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валют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бути 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дним засобом платежу за межами України. Стаб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ки України в значн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залежатиме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 пол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тики та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уряду, спрямованих на реформування адм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стративної та правової систем, а також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ки в 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лому. Внасл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док цього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 Україн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властив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ризики, яких не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снує в умовах 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 розвинених ринк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Українська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ка схильна до впливу ринкового спаду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зниження темп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розвитку св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тової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ки. Св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това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криза призвела до зниження валового внутр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шнього продукту, нестаб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на ринках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талу,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стотного пог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ршення 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 банк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вському сектор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посилення умов кредитування всередин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України. Незважаючи на стаб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заходи, що вживаються Урядом України з метою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дтримки банк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вського сектора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забезпечення 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українських банк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компан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й,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снує невизначен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щодо можливост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доступу до джерел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талу, а також вартост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кап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талу для Товариства та її контрагент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в, що може вплинути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нансовий стан, результати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перспективи Товариства.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Кер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вництво вважає, що воно вживає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необх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заходи для забезпечення 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йкост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знесу Товариства в нин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шн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х умовах. Однак, неспод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ршення в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можуть негативно впливати на результати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нансове становище. Ефект такого потенц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 негативного впливу не може бути достов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рно оц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нений.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Оподаткування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У результат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загальної нестаб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льної економ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чної ситуац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в Україн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податков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органи прид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ляють все б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льше уваги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ловим колам. У зв'язку з цим рег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ональне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загальнодержавне податкове законодавство України пост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йно 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нюються. Кр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м того, трапляються випадки їх непосл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довного застосування, тлумачення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виконання. Недотримання закон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нормативних акт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України може призвести до накладення серйозних штраф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в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 В результат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майбутн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х податкових перев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рок можуть бути виявлен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додатков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зобов'язання,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будуть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дати податкової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Товариства. Такими зобов'язаннями можуть бути власне податки, а також штрафи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пеня; та їх розм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ри можуть бути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стотними. Товариство вважає, що воно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добразило вс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операц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у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 чинним податковим законодавством.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Юридичн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питання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 процес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звичайної 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Товариство не залучене в судов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розгляди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нього не висуваються 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претенз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6.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ТНОЇ ДАТИ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сля 31 грудня 2014 року до дати затвердження кер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вництвом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в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дбувалося под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й, як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могли би вплинути на ф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нансовий стан Товариства.</w:t>
            </w:r>
          </w:p>
        </w:tc>
      </w:tr>
      <w:tr w:rsidR="00F2231C" w:rsidRPr="00F2231C" w:rsidTr="00F2231C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231C" w:rsidRPr="00F2231C" w:rsidRDefault="00F2231C" w:rsidP="00F2231C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2231C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lastRenderedPageBreak/>
              <w:t>д\в\</w:t>
            </w:r>
          </w:p>
        </w:tc>
      </w:tr>
    </w:tbl>
    <w:p w:rsidR="00F2231C" w:rsidRDefault="00F2231C"/>
    <w:sectPr w:rsidR="00F2231C" w:rsidSect="00773D1F">
      <w:pgSz w:w="15840" w:h="12240" w:orient="landscape"/>
      <w:pgMar w:top="720" w:right="144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32"/>
    <w:rsid w:val="002F0451"/>
    <w:rsid w:val="005E1AFD"/>
    <w:rsid w:val="00674F32"/>
    <w:rsid w:val="00773D1F"/>
    <w:rsid w:val="00BC1EE2"/>
    <w:rsid w:val="00E025A5"/>
    <w:rsid w:val="00F2231C"/>
    <w:rsid w:val="00F5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63FF"/>
  <w15:chartTrackingRefBased/>
  <w15:docId w15:val="{74DA36A7-9EBD-41C2-884F-7F9D9E98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223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D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223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F2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9408</Words>
  <Characters>53626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3</cp:revision>
  <dcterms:created xsi:type="dcterms:W3CDTF">2025-11-26T11:09:00Z</dcterms:created>
  <dcterms:modified xsi:type="dcterms:W3CDTF">2025-11-26T11:24:00Z</dcterms:modified>
</cp:coreProperties>
</file>